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9F7A0" w14:textId="77777777" w:rsidR="00D9745D" w:rsidRPr="00D9745D" w:rsidRDefault="00D9745D" w:rsidP="00D9745D">
      <w:pPr>
        <w:autoSpaceDE w:val="0"/>
        <w:autoSpaceDN w:val="0"/>
        <w:adjustRightInd w:val="0"/>
        <w:spacing w:after="0" w:line="240" w:lineRule="auto"/>
        <w:jc w:val="center"/>
        <w:rPr>
          <w:rFonts w:ascii="Calibri" w:eastAsia="Calibri" w:hAnsi="Calibri" w:cs="Times New Roman"/>
          <w:b/>
          <w:bCs/>
          <w:color w:val="000000"/>
          <w:kern w:val="0"/>
          <w:sz w:val="22"/>
          <w:szCs w:val="22"/>
          <w14:ligatures w14:val="none"/>
        </w:rPr>
      </w:pPr>
      <w:r w:rsidRPr="00D9745D">
        <w:rPr>
          <w:rFonts w:ascii="Calibri" w:eastAsia="Calibri" w:hAnsi="Calibri" w:cs="Times New Roman"/>
          <w:b/>
          <w:bCs/>
          <w:color w:val="000000"/>
          <w:kern w:val="0"/>
          <w:sz w:val="22"/>
          <w:szCs w:val="22"/>
          <w14:ligatures w14:val="none"/>
        </w:rPr>
        <w:t>CITY OF BETHLEHEM 2025 CDBG PROGRAM</w:t>
      </w:r>
    </w:p>
    <w:p w14:paraId="22AD6C46" w14:textId="77777777" w:rsidR="00D9745D" w:rsidRPr="00D9745D" w:rsidRDefault="00D9745D" w:rsidP="00D9745D">
      <w:pPr>
        <w:autoSpaceDE w:val="0"/>
        <w:autoSpaceDN w:val="0"/>
        <w:adjustRightInd w:val="0"/>
        <w:spacing w:after="0" w:line="240" w:lineRule="auto"/>
        <w:jc w:val="center"/>
        <w:rPr>
          <w:rFonts w:ascii="Calibri" w:eastAsia="Calibri" w:hAnsi="Calibri" w:cs="Times New Roman"/>
          <w:b/>
          <w:bCs/>
          <w:color w:val="000000"/>
          <w:kern w:val="0"/>
          <w:sz w:val="22"/>
          <w:szCs w:val="22"/>
          <w14:ligatures w14:val="none"/>
        </w:rPr>
      </w:pPr>
      <w:r w:rsidRPr="00D9745D">
        <w:rPr>
          <w:rFonts w:ascii="Calibri" w:eastAsia="Calibri" w:hAnsi="Calibri" w:cs="Times New Roman"/>
          <w:b/>
          <w:bCs/>
          <w:color w:val="000000"/>
          <w:kern w:val="0"/>
          <w:sz w:val="22"/>
          <w:szCs w:val="22"/>
          <w14:ligatures w14:val="none"/>
        </w:rPr>
        <w:t>NOTICE OF INTENT TO REQUEST RELEASE OF FUNDS</w:t>
      </w:r>
    </w:p>
    <w:p w14:paraId="721F8747" w14:textId="77777777" w:rsidR="00D9745D" w:rsidRPr="00D9745D" w:rsidRDefault="00D9745D" w:rsidP="00D9745D">
      <w:pPr>
        <w:autoSpaceDE w:val="0"/>
        <w:autoSpaceDN w:val="0"/>
        <w:adjustRightInd w:val="0"/>
        <w:spacing w:after="0" w:line="240" w:lineRule="auto"/>
        <w:jc w:val="center"/>
        <w:rPr>
          <w:rFonts w:ascii="Calibri" w:eastAsia="Calibri" w:hAnsi="Calibri" w:cs="Times New Roman"/>
          <w:color w:val="000000"/>
          <w:kern w:val="0"/>
          <w:sz w:val="22"/>
          <w:szCs w:val="22"/>
          <w14:ligatures w14:val="none"/>
        </w:rPr>
      </w:pPr>
      <w:r w:rsidRPr="00D9745D">
        <w:rPr>
          <w:rFonts w:ascii="Calibri" w:eastAsia="Calibri" w:hAnsi="Calibri" w:cs="Times New Roman"/>
          <w:b/>
          <w:bCs/>
          <w:color w:val="000000"/>
          <w:kern w:val="0"/>
          <w:sz w:val="22"/>
          <w:szCs w:val="22"/>
          <w14:ligatures w14:val="none"/>
        </w:rPr>
        <w:t xml:space="preserve">FOR TIERED PROJECTS </w:t>
      </w:r>
    </w:p>
    <w:p w14:paraId="3E95A46E" w14:textId="77777777" w:rsidR="00D9745D" w:rsidRPr="00D9745D" w:rsidRDefault="00D9745D" w:rsidP="00D9745D">
      <w:pPr>
        <w:autoSpaceDE w:val="0"/>
        <w:autoSpaceDN w:val="0"/>
        <w:adjustRightInd w:val="0"/>
        <w:spacing w:after="0" w:line="240" w:lineRule="auto"/>
        <w:jc w:val="center"/>
        <w:rPr>
          <w:rFonts w:ascii="Calibri" w:eastAsia="Calibri" w:hAnsi="Calibri" w:cs="Times New Roman"/>
          <w:b/>
          <w:bCs/>
          <w:color w:val="000000"/>
          <w:kern w:val="0"/>
          <w:sz w:val="22"/>
          <w:szCs w:val="22"/>
          <w14:ligatures w14:val="none"/>
        </w:rPr>
      </w:pPr>
    </w:p>
    <w:p w14:paraId="0DD1F0B2" w14:textId="77777777" w:rsidR="00D9745D" w:rsidRPr="00D9745D" w:rsidRDefault="00D9745D" w:rsidP="00D9745D">
      <w:pPr>
        <w:autoSpaceDE w:val="0"/>
        <w:autoSpaceDN w:val="0"/>
        <w:adjustRightInd w:val="0"/>
        <w:spacing w:after="0" w:line="240" w:lineRule="auto"/>
        <w:rPr>
          <w:rFonts w:ascii="Calibri" w:eastAsia="Calibri" w:hAnsi="Calibri" w:cs="Times New Roman"/>
          <w:color w:val="000000"/>
          <w:kern w:val="0"/>
          <w:sz w:val="22"/>
          <w:szCs w:val="22"/>
          <w14:ligatures w14:val="none"/>
        </w:rPr>
      </w:pPr>
      <w:r w:rsidRPr="00D9745D">
        <w:rPr>
          <w:rFonts w:ascii="Calibri" w:eastAsia="Calibri" w:hAnsi="Calibri" w:cs="Times New Roman"/>
          <w:b/>
          <w:bCs/>
          <w:color w:val="000000"/>
          <w:kern w:val="0"/>
          <w:sz w:val="22"/>
          <w:szCs w:val="22"/>
          <w14:ligatures w14:val="none"/>
        </w:rPr>
        <w:t>Date of Publication</w:t>
      </w:r>
      <w:r w:rsidRPr="00D9745D">
        <w:rPr>
          <w:rFonts w:ascii="Calibri" w:eastAsia="Calibri" w:hAnsi="Calibri" w:cs="Times New Roman"/>
          <w:color w:val="000000"/>
          <w:kern w:val="0"/>
          <w:sz w:val="22"/>
          <w:szCs w:val="22"/>
          <w14:ligatures w14:val="none"/>
        </w:rPr>
        <w:t>: December 24, 2025</w:t>
      </w:r>
    </w:p>
    <w:p w14:paraId="4A0BA33F" w14:textId="77777777" w:rsidR="00D9745D" w:rsidRPr="00D9745D" w:rsidRDefault="00D9745D" w:rsidP="00D9745D">
      <w:pPr>
        <w:spacing w:after="0" w:line="240" w:lineRule="auto"/>
        <w:jc w:val="both"/>
        <w:rPr>
          <w:rFonts w:ascii="Calibri" w:eastAsia="Times New Roman" w:hAnsi="Calibri" w:cs="Times New Roman"/>
          <w:kern w:val="0"/>
          <w:sz w:val="22"/>
          <w:szCs w:val="22"/>
          <w14:ligatures w14:val="none"/>
        </w:rPr>
      </w:pPr>
    </w:p>
    <w:p w14:paraId="3B8285C6" w14:textId="77777777" w:rsidR="00D9745D" w:rsidRPr="00D9745D" w:rsidRDefault="00D9745D" w:rsidP="00D9745D">
      <w:pPr>
        <w:spacing w:after="0" w:line="247" w:lineRule="exact"/>
        <w:textAlignment w:val="baseline"/>
        <w:rPr>
          <w:rFonts w:ascii="Calibri" w:eastAsia="Times New Roman" w:hAnsi="Calibri" w:cs="Times New Roman"/>
          <w:spacing w:val="-1"/>
          <w:kern w:val="0"/>
          <w:sz w:val="22"/>
          <w:szCs w:val="20"/>
          <w14:ligatures w14:val="none"/>
        </w:rPr>
      </w:pPr>
      <w:r w:rsidRPr="00D9745D">
        <w:rPr>
          <w:rFonts w:ascii="Calibri" w:eastAsia="Times New Roman" w:hAnsi="Calibri" w:cs="Times New Roman"/>
          <w:spacing w:val="-1"/>
          <w:kern w:val="0"/>
          <w:sz w:val="22"/>
          <w:szCs w:val="20"/>
          <w14:ligatures w14:val="none"/>
        </w:rPr>
        <w:t>City of Bethlehem</w:t>
      </w:r>
    </w:p>
    <w:p w14:paraId="1952C743" w14:textId="77777777" w:rsidR="00D9745D" w:rsidRPr="00D9745D" w:rsidRDefault="00D9745D" w:rsidP="00D9745D">
      <w:pPr>
        <w:spacing w:before="1" w:after="0" w:line="253" w:lineRule="exact"/>
        <w:textAlignment w:val="baseline"/>
        <w:rPr>
          <w:rFonts w:ascii="Calibri" w:eastAsia="Times New Roman" w:hAnsi="Calibri" w:cs="Times New Roman"/>
          <w:spacing w:val="-1"/>
          <w:kern w:val="0"/>
          <w:sz w:val="22"/>
          <w:szCs w:val="20"/>
          <w14:ligatures w14:val="none"/>
        </w:rPr>
      </w:pPr>
      <w:r w:rsidRPr="00D9745D">
        <w:rPr>
          <w:rFonts w:ascii="Calibri" w:eastAsia="Times New Roman" w:hAnsi="Calibri" w:cs="Times New Roman"/>
          <w:spacing w:val="-1"/>
          <w:kern w:val="0"/>
          <w:sz w:val="22"/>
          <w:szCs w:val="20"/>
          <w14:ligatures w14:val="none"/>
        </w:rPr>
        <w:t>10 East Church Street</w:t>
      </w:r>
    </w:p>
    <w:p w14:paraId="17B31003" w14:textId="77777777" w:rsidR="00D9745D" w:rsidRPr="00D9745D" w:rsidRDefault="00D9745D" w:rsidP="00D9745D">
      <w:pPr>
        <w:spacing w:before="1" w:after="0" w:line="253" w:lineRule="exact"/>
        <w:textAlignment w:val="baseline"/>
        <w:rPr>
          <w:rFonts w:ascii="Calibri" w:eastAsia="Times New Roman" w:hAnsi="Calibri" w:cs="Times New Roman"/>
          <w:spacing w:val="1"/>
          <w:kern w:val="0"/>
          <w:sz w:val="22"/>
          <w:szCs w:val="20"/>
          <w14:ligatures w14:val="none"/>
        </w:rPr>
      </w:pPr>
      <w:r w:rsidRPr="00D9745D">
        <w:rPr>
          <w:rFonts w:ascii="Calibri" w:eastAsia="Times New Roman" w:hAnsi="Calibri" w:cs="Times New Roman"/>
          <w:spacing w:val="1"/>
          <w:kern w:val="0"/>
          <w:sz w:val="22"/>
          <w:szCs w:val="20"/>
          <w14:ligatures w14:val="none"/>
        </w:rPr>
        <w:t>Bethlehem, PA 18018</w:t>
      </w:r>
    </w:p>
    <w:p w14:paraId="4B79FF2F" w14:textId="77777777" w:rsidR="00D9745D" w:rsidRPr="00D9745D" w:rsidRDefault="00D9745D" w:rsidP="00D9745D">
      <w:pPr>
        <w:spacing w:after="0" w:line="250" w:lineRule="exact"/>
        <w:textAlignment w:val="baseline"/>
        <w:rPr>
          <w:rFonts w:ascii="Calibri" w:eastAsia="Times New Roman" w:hAnsi="Calibri" w:cs="Times New Roman"/>
          <w:spacing w:val="-1"/>
          <w:kern w:val="0"/>
          <w:sz w:val="22"/>
          <w:szCs w:val="20"/>
          <w14:ligatures w14:val="none"/>
        </w:rPr>
      </w:pPr>
      <w:r w:rsidRPr="00D9745D">
        <w:rPr>
          <w:rFonts w:ascii="Calibri" w:eastAsia="Times New Roman" w:hAnsi="Calibri" w:cs="Times New Roman"/>
          <w:spacing w:val="-1"/>
          <w:kern w:val="0"/>
          <w:sz w:val="22"/>
          <w:szCs w:val="20"/>
          <w14:ligatures w14:val="none"/>
        </w:rPr>
        <w:t>610-865-7085</w:t>
      </w:r>
    </w:p>
    <w:p w14:paraId="223F7B7A" w14:textId="77777777" w:rsidR="00D9745D" w:rsidRPr="00D9745D" w:rsidRDefault="00D9745D" w:rsidP="00D9745D">
      <w:pPr>
        <w:tabs>
          <w:tab w:val="left" w:pos="2016"/>
        </w:tabs>
        <w:spacing w:after="0" w:line="240" w:lineRule="auto"/>
        <w:jc w:val="center"/>
        <w:outlineLvl w:val="0"/>
        <w:rPr>
          <w:rFonts w:ascii="Calibri" w:eastAsia="Times New Roman" w:hAnsi="Calibri" w:cs="Times New Roman"/>
          <w:b/>
          <w:kern w:val="0"/>
          <w:sz w:val="22"/>
          <w:szCs w:val="22"/>
          <w14:ligatures w14:val="none"/>
        </w:rPr>
      </w:pPr>
    </w:p>
    <w:p w14:paraId="7870C325" w14:textId="77777777" w:rsidR="00D9745D" w:rsidRPr="00D9745D" w:rsidRDefault="00D9745D" w:rsidP="00D9745D">
      <w:pPr>
        <w:spacing w:after="0" w:line="240" w:lineRule="auto"/>
        <w:jc w:val="both"/>
        <w:outlineLvl w:val="0"/>
        <w:rPr>
          <w:rFonts w:ascii="Calibri" w:eastAsia="Times New Roman" w:hAnsi="Calibri" w:cs="Times New Roman"/>
          <w:kern w:val="0"/>
          <w:sz w:val="22"/>
          <w:szCs w:val="22"/>
          <w14:ligatures w14:val="none"/>
        </w:rPr>
      </w:pPr>
      <w:r w:rsidRPr="00D9745D">
        <w:rPr>
          <w:rFonts w:ascii="Calibri" w:eastAsia="Times New Roman" w:hAnsi="Calibri" w:cs="Times New Roman"/>
          <w:bCs/>
          <w:kern w:val="0"/>
          <w:sz w:val="22"/>
          <w:szCs w:val="22"/>
          <w14:ligatures w14:val="none"/>
        </w:rPr>
        <w:t xml:space="preserve">On or about January 5, 2026, </w:t>
      </w:r>
      <w:r w:rsidRPr="00D9745D">
        <w:rPr>
          <w:rFonts w:ascii="Calibri" w:eastAsia="Times New Roman" w:hAnsi="Calibri" w:cs="Times New Roman"/>
          <w:kern w:val="0"/>
          <w:sz w:val="22"/>
          <w:szCs w:val="22"/>
          <w14:ligatures w14:val="none"/>
        </w:rPr>
        <w:t>the City of Bethlehem will submit a request to the U. S. Department of Housing and Urban Development for the release of Community Development Block Grant funds under Title I of the Housing and Community Development Act of 1974, as amended, to undertake the following projects:</w:t>
      </w:r>
    </w:p>
    <w:p w14:paraId="18FB5BC1" w14:textId="77777777" w:rsidR="00D9745D" w:rsidRPr="00D9745D" w:rsidRDefault="00D9745D" w:rsidP="00D9745D">
      <w:pPr>
        <w:spacing w:after="0" w:line="240" w:lineRule="auto"/>
        <w:jc w:val="both"/>
        <w:outlineLvl w:val="0"/>
        <w:rPr>
          <w:rFonts w:ascii="Calibri" w:eastAsia="Times New Roman" w:hAnsi="Calibri" w:cs="Times New Roman"/>
          <w:kern w:val="0"/>
          <w:sz w:val="22"/>
          <w:szCs w:val="22"/>
          <w14:ligatures w14:val="none"/>
        </w:rPr>
      </w:pPr>
    </w:p>
    <w:p w14:paraId="7DFBB195" w14:textId="77777777" w:rsidR="00D9745D" w:rsidRPr="00D9745D" w:rsidRDefault="00D9745D" w:rsidP="00D9745D">
      <w:pPr>
        <w:spacing w:after="0" w:line="240" w:lineRule="auto"/>
        <w:jc w:val="both"/>
        <w:rPr>
          <w:rFonts w:ascii="Calibri" w:eastAsia="Times New Roman" w:hAnsi="Calibri" w:cs="Times New Roman"/>
          <w:kern w:val="0"/>
          <w:sz w:val="22"/>
          <w:szCs w:val="22"/>
          <w14:ligatures w14:val="none"/>
        </w:rPr>
      </w:pPr>
      <w:r w:rsidRPr="00D9745D">
        <w:rPr>
          <w:rFonts w:ascii="Calibri" w:eastAsia="Times New Roman" w:hAnsi="Calibri" w:cs="Times New Roman"/>
          <w:b/>
          <w:bCs/>
          <w:kern w:val="0"/>
          <w:sz w:val="22"/>
          <w:szCs w:val="22"/>
          <w14:ligatures w14:val="none"/>
        </w:rPr>
        <w:t>Tier 1 Broad Review Project/Program Title:</w:t>
      </w:r>
      <w:r w:rsidRPr="00D9745D">
        <w:rPr>
          <w:rFonts w:ascii="Times New Roman" w:eastAsia="Times New Roman" w:hAnsi="Times New Roman" w:cs="Times New Roman"/>
          <w:b/>
          <w:bCs/>
          <w:kern w:val="0"/>
          <w:sz w:val="22"/>
          <w:szCs w:val="22"/>
          <w14:ligatures w14:val="none"/>
        </w:rPr>
        <w:t xml:space="preserve"> </w:t>
      </w:r>
      <w:r w:rsidRPr="00D9745D">
        <w:rPr>
          <w:rFonts w:ascii="Calibri" w:eastAsia="Times New Roman" w:hAnsi="Calibri" w:cs="Calibri"/>
          <w:kern w:val="0"/>
          <w:sz w:val="22"/>
          <w:szCs w:val="22"/>
          <w14:ligatures w14:val="none"/>
        </w:rPr>
        <w:t>Housing – Housing Rehabilitation:  City-wide</w:t>
      </w:r>
      <w:r w:rsidRPr="00D9745D">
        <w:rPr>
          <w:rFonts w:ascii="Times New Roman" w:eastAsia="Times New Roman" w:hAnsi="Times New Roman" w:cs="Times New Roman"/>
          <w:b/>
          <w:bCs/>
          <w:kern w:val="0"/>
          <w:sz w:val="22"/>
          <w:szCs w:val="22"/>
          <w14:ligatures w14:val="none"/>
        </w:rPr>
        <w:t xml:space="preserve"> </w:t>
      </w:r>
      <w:r w:rsidRPr="00D9745D">
        <w:rPr>
          <w:rFonts w:ascii="Calibri" w:eastAsia="Times New Roman" w:hAnsi="Calibri" w:cs="Times New Roman"/>
          <w:kern w:val="0"/>
          <w:sz w:val="22"/>
          <w:szCs w:val="22"/>
          <w14:ligatures w14:val="none"/>
        </w:rPr>
        <w:t>(Tier 1 Review)</w:t>
      </w:r>
    </w:p>
    <w:p w14:paraId="3BD8A35B" w14:textId="77777777" w:rsidR="00D9745D" w:rsidRPr="00D9745D" w:rsidRDefault="00D9745D" w:rsidP="00D9745D">
      <w:pPr>
        <w:autoSpaceDE w:val="0"/>
        <w:autoSpaceDN w:val="0"/>
        <w:adjustRightInd w:val="0"/>
        <w:spacing w:after="0" w:line="240" w:lineRule="auto"/>
        <w:jc w:val="both"/>
        <w:rPr>
          <w:rFonts w:ascii="Calibri" w:eastAsia="Calibri" w:hAnsi="Calibri" w:cs="Times New Roman"/>
          <w:color w:val="000000"/>
          <w:kern w:val="0"/>
          <w:sz w:val="22"/>
          <w:szCs w:val="22"/>
          <w14:ligatures w14:val="none"/>
        </w:rPr>
      </w:pPr>
      <w:r w:rsidRPr="00D9745D">
        <w:rPr>
          <w:rFonts w:ascii="Calibri" w:eastAsia="Calibri" w:hAnsi="Calibri" w:cs="Times New Roman"/>
          <w:b/>
          <w:bCs/>
          <w:color w:val="000000"/>
          <w:kern w:val="0"/>
          <w:sz w:val="22"/>
          <w:szCs w:val="22"/>
          <w14:ligatures w14:val="none"/>
        </w:rPr>
        <w:t>Purpose:</w:t>
      </w:r>
      <w:r w:rsidRPr="00D9745D">
        <w:rPr>
          <w:rFonts w:ascii="Calibri" w:eastAsia="Calibri" w:hAnsi="Calibri" w:cs="Times New Roman"/>
          <w:bCs/>
          <w:color w:val="000000"/>
          <w:kern w:val="0"/>
          <w:sz w:val="22"/>
          <w:szCs w:val="22"/>
          <w14:ligatures w14:val="none"/>
        </w:rPr>
        <w:t xml:space="preserve"> To increase the availability of suitable housing for income-eligible households in the City of Bethlehem</w:t>
      </w:r>
      <w:r w:rsidRPr="00D9745D">
        <w:rPr>
          <w:rFonts w:ascii="Calibri" w:eastAsia="Calibri" w:hAnsi="Calibri" w:cs="Times New Roman"/>
          <w:i/>
          <w:iCs/>
          <w:color w:val="000000"/>
          <w:kern w:val="0"/>
          <w:sz w:val="22"/>
          <w:szCs w:val="22"/>
          <w14:ligatures w14:val="none"/>
        </w:rPr>
        <w:t xml:space="preserve"> </w:t>
      </w:r>
    </w:p>
    <w:p w14:paraId="00FFA837" w14:textId="77777777" w:rsidR="00D9745D" w:rsidRPr="00D9745D" w:rsidRDefault="00D9745D" w:rsidP="00D9745D">
      <w:pPr>
        <w:autoSpaceDE w:val="0"/>
        <w:autoSpaceDN w:val="0"/>
        <w:adjustRightInd w:val="0"/>
        <w:spacing w:after="0" w:line="240" w:lineRule="auto"/>
        <w:jc w:val="both"/>
        <w:rPr>
          <w:rFonts w:ascii="Calibri" w:eastAsia="Calibri" w:hAnsi="Calibri" w:cs="Times New Roman"/>
          <w:color w:val="000000"/>
          <w:kern w:val="0"/>
          <w:sz w:val="22"/>
          <w:szCs w:val="22"/>
          <w14:ligatures w14:val="none"/>
        </w:rPr>
      </w:pPr>
      <w:r w:rsidRPr="00D9745D">
        <w:rPr>
          <w:rFonts w:ascii="Calibri" w:eastAsia="Calibri" w:hAnsi="Calibri" w:cs="Times New Roman"/>
          <w:b/>
          <w:bCs/>
          <w:color w:val="000000"/>
          <w:kern w:val="0"/>
          <w:sz w:val="22"/>
          <w:szCs w:val="22"/>
          <w14:ligatures w14:val="none"/>
        </w:rPr>
        <w:t>Location:</w:t>
      </w:r>
      <w:r w:rsidRPr="00D9745D">
        <w:rPr>
          <w:rFonts w:ascii="Calibri" w:eastAsia="Calibri" w:hAnsi="Calibri" w:cs="Times New Roman"/>
          <w:bCs/>
          <w:color w:val="000000"/>
          <w:kern w:val="0"/>
          <w:sz w:val="22"/>
          <w:szCs w:val="22"/>
          <w14:ligatures w14:val="none"/>
        </w:rPr>
        <w:t xml:space="preserve"> </w:t>
      </w:r>
      <w:r w:rsidRPr="00D9745D">
        <w:rPr>
          <w:rFonts w:ascii="Calibri" w:eastAsia="Calibri" w:hAnsi="Calibri" w:cs="Cambria"/>
          <w:color w:val="000000"/>
          <w:kern w:val="0"/>
          <w:sz w:val="22"/>
          <w:szCs w:val="22"/>
          <w14:ligatures w14:val="none"/>
        </w:rPr>
        <w:t xml:space="preserve">Available on a city-wide basis.  </w:t>
      </w:r>
      <w:r w:rsidRPr="00D9745D">
        <w:rPr>
          <w:rFonts w:ascii="Calibri" w:eastAsia="Calibri" w:hAnsi="Calibri" w:cs="Times New Roman"/>
          <w:bCs/>
          <w:color w:val="000000"/>
          <w:kern w:val="0"/>
          <w:sz w:val="22"/>
          <w:szCs w:val="22"/>
          <w14:ligatures w14:val="none"/>
        </w:rPr>
        <w:t>Specific addresses to be determined.</w:t>
      </w:r>
    </w:p>
    <w:p w14:paraId="6AE4E466" w14:textId="77777777" w:rsidR="00D9745D" w:rsidRPr="00D9745D" w:rsidRDefault="00D9745D" w:rsidP="00D9745D">
      <w:pPr>
        <w:spacing w:after="0" w:line="240" w:lineRule="auto"/>
        <w:jc w:val="both"/>
        <w:rPr>
          <w:rFonts w:ascii="Calibri" w:eastAsia="Times New Roman" w:hAnsi="Calibri" w:cs="Times New Roman"/>
          <w:kern w:val="0"/>
          <w:sz w:val="22"/>
          <w:szCs w:val="22"/>
          <w14:ligatures w14:val="none"/>
        </w:rPr>
      </w:pPr>
      <w:r w:rsidRPr="00D9745D">
        <w:rPr>
          <w:rFonts w:ascii="Calibri" w:eastAsia="Times New Roman" w:hAnsi="Calibri" w:cs="Times New Roman"/>
          <w:b/>
          <w:bCs/>
          <w:kern w:val="0"/>
          <w:sz w:val="22"/>
          <w:szCs w:val="22"/>
          <w14:ligatures w14:val="none"/>
        </w:rPr>
        <w:t xml:space="preserve">Project/Program Description: </w:t>
      </w:r>
      <w:r w:rsidRPr="00D9745D">
        <w:rPr>
          <w:rFonts w:ascii="Calibri" w:eastAsia="Times New Roman" w:hAnsi="Calibri" w:cs="Times New Roman"/>
          <w:kern w:val="0"/>
          <w:sz w:val="22"/>
          <w:szCs w:val="22"/>
          <w14:ligatures w14:val="none"/>
        </w:rPr>
        <w:t>The proposed Program would provide residential repairs to low- and moderate-income homeowners of owner-occupied homes.</w:t>
      </w:r>
      <w:r w:rsidRPr="00D9745D">
        <w:rPr>
          <w:rFonts w:ascii="Times New Roman" w:eastAsia="Times New Roman" w:hAnsi="Times New Roman" w:cs="Times New Roman"/>
          <w:kern w:val="0"/>
          <w:szCs w:val="20"/>
          <w14:ligatures w14:val="none"/>
        </w:rPr>
        <w:t xml:space="preserve"> </w:t>
      </w:r>
      <w:r w:rsidRPr="00D9745D">
        <w:rPr>
          <w:rFonts w:ascii="Calibri" w:eastAsia="Times New Roman" w:hAnsi="Calibri" w:cs="Times New Roman"/>
          <w:kern w:val="0"/>
          <w:sz w:val="22"/>
          <w:szCs w:val="22"/>
          <w14:ligatures w14:val="none"/>
        </w:rPr>
        <w:t>Program activities would include, but are not limited to, roof repair or replacement; painting previously painted surfaces; window and/or door replacements; air conditioning repair, Americans with Disabilities Act improvements; and other activities similar in scope. The Program would begin in January 2026 and run through December 2030, where the City of Bethlehem would provide Program Year 2025 through 2029 CDBG funding of approximately $1,793,290 (total across all program years) for repair of approximately 30-40 single-family residential units occupied by income-eligible households</w:t>
      </w:r>
      <w:r w:rsidRPr="00D9745D" w:rsidDel="00853B33">
        <w:rPr>
          <w:rFonts w:ascii="Calibri" w:eastAsia="Times New Roman" w:hAnsi="Calibri" w:cs="Times New Roman"/>
          <w:kern w:val="0"/>
          <w:sz w:val="22"/>
          <w:szCs w:val="22"/>
          <w14:ligatures w14:val="none"/>
        </w:rPr>
        <w:t xml:space="preserve"> </w:t>
      </w:r>
      <w:r w:rsidRPr="00D9745D">
        <w:rPr>
          <w:rFonts w:ascii="Calibri" w:eastAsia="Times New Roman" w:hAnsi="Calibri" w:cs="Times New Roman"/>
          <w:kern w:val="0"/>
          <w:sz w:val="22"/>
          <w:szCs w:val="22"/>
          <w14:ligatures w14:val="none"/>
        </w:rPr>
        <w:t xml:space="preserve">per program year.  </w:t>
      </w:r>
      <w:r w:rsidRPr="00D9745D">
        <w:rPr>
          <w:rFonts w:ascii="Calibri" w:eastAsia="Times New Roman" w:hAnsi="Calibri" w:cs="Times New Roman"/>
          <w:kern w:val="0"/>
          <w:sz w:val="22"/>
          <w:szCs w:val="20"/>
          <w14:ligatures w14:val="none"/>
        </w:rPr>
        <w:t xml:space="preserve">The actual annual amount will be identified in each Annual Action Plan in the referenced program year range.  </w:t>
      </w:r>
      <w:r w:rsidRPr="00D9745D">
        <w:rPr>
          <w:rFonts w:ascii="Calibri" w:eastAsia="Times New Roman" w:hAnsi="Calibri" w:cs="Times New Roman"/>
          <w:iCs/>
          <w:kern w:val="0"/>
          <w:sz w:val="22"/>
          <w:szCs w:val="22"/>
          <w14:ligatures w14:val="none"/>
        </w:rPr>
        <w:t>Tier 2 site-specific reviews will be completed for those laws and authorities not addressed in the Tier 1 broad review for each address under this program when addresses become known.</w:t>
      </w:r>
    </w:p>
    <w:p w14:paraId="6A1B1384" w14:textId="77777777" w:rsidR="00D9745D" w:rsidRPr="00D9745D" w:rsidRDefault="00D9745D" w:rsidP="00D9745D">
      <w:pPr>
        <w:spacing w:after="0" w:line="240" w:lineRule="auto"/>
        <w:jc w:val="both"/>
        <w:rPr>
          <w:rFonts w:ascii="Calibri" w:eastAsia="Times New Roman" w:hAnsi="Calibri" w:cs="Times New Roman"/>
          <w:kern w:val="0"/>
          <w:sz w:val="22"/>
          <w:szCs w:val="22"/>
          <w14:ligatures w14:val="none"/>
        </w:rPr>
      </w:pPr>
      <w:r w:rsidRPr="00D9745D">
        <w:rPr>
          <w:rFonts w:ascii="Calibri" w:eastAsia="Times New Roman" w:hAnsi="Calibri" w:cs="Times New Roman"/>
          <w:b/>
          <w:bCs/>
          <w:kern w:val="0"/>
          <w:sz w:val="22"/>
          <w:szCs w:val="22"/>
          <w14:ligatures w14:val="none"/>
        </w:rPr>
        <w:t xml:space="preserve">Level of Environmental Review Citation: </w:t>
      </w:r>
      <w:r w:rsidRPr="00D9745D">
        <w:rPr>
          <w:rFonts w:ascii="Calibri" w:eastAsia="Times New Roman" w:hAnsi="Calibri" w:cs="Times New Roman"/>
          <w:kern w:val="0"/>
          <w:sz w:val="22"/>
          <w:szCs w:val="22"/>
          <w14:ligatures w14:val="none"/>
        </w:rPr>
        <w:t>24 CFR Part 58.35(a)(3)(</w:t>
      </w:r>
      <w:proofErr w:type="spellStart"/>
      <w:r w:rsidRPr="00D9745D">
        <w:rPr>
          <w:rFonts w:ascii="Calibri" w:eastAsia="Times New Roman" w:hAnsi="Calibri" w:cs="Times New Roman"/>
          <w:kern w:val="0"/>
          <w:sz w:val="22"/>
          <w:szCs w:val="22"/>
          <w14:ligatures w14:val="none"/>
        </w:rPr>
        <w:t>i</w:t>
      </w:r>
      <w:proofErr w:type="spellEnd"/>
      <w:r w:rsidRPr="00D9745D">
        <w:rPr>
          <w:rFonts w:ascii="Calibri" w:eastAsia="Times New Roman" w:hAnsi="Calibri" w:cs="Times New Roman"/>
          <w:kern w:val="0"/>
          <w:sz w:val="22"/>
          <w:szCs w:val="22"/>
          <w14:ligatures w14:val="none"/>
        </w:rPr>
        <w:t>)</w:t>
      </w:r>
    </w:p>
    <w:p w14:paraId="2BC89B14" w14:textId="77777777" w:rsidR="00D9745D" w:rsidRPr="00D9745D" w:rsidRDefault="00D9745D" w:rsidP="00D9745D">
      <w:pPr>
        <w:spacing w:after="0" w:line="240" w:lineRule="auto"/>
        <w:jc w:val="both"/>
        <w:rPr>
          <w:rFonts w:ascii="Calibri" w:eastAsia="Times New Roman" w:hAnsi="Calibri" w:cs="Times New Roman"/>
          <w:bCs/>
          <w:kern w:val="0"/>
          <w:sz w:val="22"/>
          <w:szCs w:val="22"/>
          <w14:ligatures w14:val="none"/>
        </w:rPr>
      </w:pPr>
      <w:r w:rsidRPr="00D9745D">
        <w:rPr>
          <w:rFonts w:ascii="Calibri" w:eastAsia="Times New Roman" w:hAnsi="Calibri" w:cs="Times New Roman"/>
          <w:b/>
          <w:bCs/>
          <w:kern w:val="0"/>
          <w:sz w:val="22"/>
          <w:szCs w:val="22"/>
          <w14:ligatures w14:val="none"/>
        </w:rPr>
        <w:t>Tier 2 Site-Specific Review:</w:t>
      </w:r>
      <w:r w:rsidRPr="00D9745D">
        <w:rPr>
          <w:rFonts w:ascii="Calibri" w:eastAsia="Times New Roman" w:hAnsi="Calibri" w:cs="Times New Roman"/>
          <w:bCs/>
          <w:kern w:val="0"/>
          <w:sz w:val="22"/>
          <w:szCs w:val="22"/>
          <w14:ligatures w14:val="none"/>
        </w:rPr>
        <w:t xml:space="preserve"> The site-specific reviews will cover the following laws and authorities not addressed in the Tier 1 broad review: (1) Airport Hazards, (2) Flood Insurance, (3) Contaminated and Toxic Substances, (4) Historic Preservation, and (5) Noise Abatement and Control.]</w:t>
      </w:r>
    </w:p>
    <w:p w14:paraId="49F205DD" w14:textId="77777777" w:rsidR="00D9745D" w:rsidRPr="00D9745D" w:rsidRDefault="00D9745D" w:rsidP="00D9745D">
      <w:pPr>
        <w:autoSpaceDE w:val="0"/>
        <w:autoSpaceDN w:val="0"/>
        <w:adjustRightInd w:val="0"/>
        <w:spacing w:after="0" w:line="240" w:lineRule="auto"/>
        <w:jc w:val="both"/>
        <w:rPr>
          <w:rFonts w:ascii="Calibri" w:eastAsia="Calibri" w:hAnsi="Calibri" w:cs="Times New Roman"/>
          <w:color w:val="000000"/>
          <w:kern w:val="0"/>
          <w:sz w:val="22"/>
          <w:szCs w:val="22"/>
          <w14:ligatures w14:val="none"/>
        </w:rPr>
      </w:pPr>
      <w:r w:rsidRPr="00D9745D">
        <w:rPr>
          <w:rFonts w:ascii="Calibri" w:eastAsia="Calibri" w:hAnsi="Calibri" w:cs="Times New Roman"/>
          <w:b/>
          <w:bCs/>
          <w:color w:val="000000"/>
          <w:kern w:val="0"/>
          <w:sz w:val="22"/>
          <w:szCs w:val="22"/>
          <w14:ligatures w14:val="none"/>
        </w:rPr>
        <w:t>Mitigation Measures/Conditions/Permits (if any):</w:t>
      </w:r>
      <w:r w:rsidRPr="00D9745D">
        <w:rPr>
          <w:rFonts w:ascii="Calibri" w:eastAsia="Calibri" w:hAnsi="Calibri" w:cs="Times New Roman"/>
          <w:bCs/>
          <w:color w:val="000000"/>
          <w:kern w:val="0"/>
          <w:sz w:val="22"/>
          <w:szCs w:val="22"/>
          <w14:ligatures w14:val="none"/>
        </w:rPr>
        <w:t xml:space="preserve"> When addresses are determined and Tier 2 site-specific reviews have been conducted, any environmental factors requiring mitigation, conditions or permits will be addressed in a manner consistent with governing regulations and the City’s written strategy, as applicable.  </w:t>
      </w:r>
      <w:bookmarkStart w:id="0" w:name="_Hlk46146960"/>
      <w:r w:rsidRPr="00D9745D">
        <w:rPr>
          <w:rFonts w:ascii="Calibri" w:eastAsia="Calibri" w:hAnsi="Calibri" w:cs="Times New Roman"/>
          <w:bCs/>
          <w:color w:val="000000"/>
          <w:kern w:val="0"/>
          <w:sz w:val="22"/>
          <w:szCs w:val="22"/>
          <w14:ligatures w14:val="none"/>
        </w:rPr>
        <w:t xml:space="preserve">Any sites or scopes of work that are confirmed to be beyond the constraints established by the Tier 1 review will receive a separate environmental review. For airport hazards, the </w:t>
      </w:r>
      <w:proofErr w:type="gramStart"/>
      <w:r w:rsidRPr="00D9745D">
        <w:rPr>
          <w:rFonts w:ascii="Calibri" w:eastAsia="Calibri" w:hAnsi="Calibri" w:cs="Times New Roman"/>
          <w:bCs/>
          <w:color w:val="000000"/>
          <w:kern w:val="0"/>
          <w:sz w:val="22"/>
          <w:szCs w:val="22"/>
          <w14:ligatures w14:val="none"/>
        </w:rPr>
        <w:t>City</w:t>
      </w:r>
      <w:proofErr w:type="gramEnd"/>
      <w:r w:rsidRPr="00D9745D">
        <w:rPr>
          <w:rFonts w:ascii="Calibri" w:eastAsia="Calibri" w:hAnsi="Calibri" w:cs="Times New Roman"/>
          <w:bCs/>
          <w:color w:val="000000"/>
          <w:kern w:val="0"/>
          <w:sz w:val="22"/>
          <w:szCs w:val="22"/>
          <w14:ligatures w14:val="none"/>
        </w:rPr>
        <w:t xml:space="preserve"> will document a project site’s location in relation to area airports. For flood insurance, the City will document the project site’s corresponding Federal Emergency Management Agency’s Flood Insurance Rate Map and will require flood insurance for projects located in special flood hazard areas. For contamination and toxic substances, the City will determine if each project site is free of hazardous materials, contamination, toxic chemicals and gases (including radon), and radioactive substances, where a hazard could affect the health and safety of occupants or conflict with the intended utilization of the property. For historic preservation, the </w:t>
      </w:r>
      <w:proofErr w:type="gramStart"/>
      <w:r w:rsidRPr="00D9745D">
        <w:rPr>
          <w:rFonts w:ascii="Calibri" w:eastAsia="Calibri" w:hAnsi="Calibri" w:cs="Times New Roman"/>
          <w:bCs/>
          <w:color w:val="000000"/>
          <w:kern w:val="0"/>
          <w:sz w:val="22"/>
          <w:szCs w:val="22"/>
          <w14:ligatures w14:val="none"/>
        </w:rPr>
        <w:t>City</w:t>
      </w:r>
      <w:proofErr w:type="gramEnd"/>
      <w:r w:rsidRPr="00D9745D">
        <w:rPr>
          <w:rFonts w:ascii="Calibri" w:eastAsia="Calibri" w:hAnsi="Calibri" w:cs="Times New Roman"/>
          <w:bCs/>
          <w:color w:val="000000"/>
          <w:kern w:val="0"/>
          <w:sz w:val="22"/>
          <w:szCs w:val="22"/>
          <w14:ligatures w14:val="none"/>
        </w:rPr>
        <w:t xml:space="preserve"> will review an existing programmatic agreement with the State Historic Preservation Officer for covered activities and will determine a project’s impact on historic resources for projects involving activities not covered by the existing programmatic agreement. For noise abatement and control, the </w:t>
      </w:r>
      <w:proofErr w:type="gramStart"/>
      <w:r w:rsidRPr="00D9745D">
        <w:rPr>
          <w:rFonts w:ascii="Calibri" w:eastAsia="Calibri" w:hAnsi="Calibri" w:cs="Times New Roman"/>
          <w:bCs/>
          <w:color w:val="000000"/>
          <w:kern w:val="0"/>
          <w:sz w:val="22"/>
          <w:szCs w:val="22"/>
          <w14:ligatures w14:val="none"/>
        </w:rPr>
        <w:t>City</w:t>
      </w:r>
      <w:proofErr w:type="gramEnd"/>
      <w:r w:rsidRPr="00D9745D">
        <w:rPr>
          <w:rFonts w:ascii="Calibri" w:eastAsia="Calibri" w:hAnsi="Calibri" w:cs="Times New Roman"/>
          <w:bCs/>
          <w:color w:val="000000"/>
          <w:kern w:val="0"/>
          <w:sz w:val="22"/>
          <w:szCs w:val="22"/>
          <w14:ligatures w14:val="none"/>
        </w:rPr>
        <w:t xml:space="preserve"> will document a project site’s proximity to noise generators (i.e., roads, railroads, and airports</w:t>
      </w:r>
      <w:proofErr w:type="gramStart"/>
      <w:r w:rsidRPr="00D9745D">
        <w:rPr>
          <w:rFonts w:ascii="Calibri" w:eastAsia="Calibri" w:hAnsi="Calibri" w:cs="Times New Roman"/>
          <w:bCs/>
          <w:color w:val="000000"/>
          <w:kern w:val="0"/>
          <w:sz w:val="22"/>
          <w:szCs w:val="22"/>
          <w14:ligatures w14:val="none"/>
        </w:rPr>
        <w:t>), and</w:t>
      </w:r>
      <w:proofErr w:type="gramEnd"/>
      <w:r w:rsidRPr="00D9745D">
        <w:rPr>
          <w:rFonts w:ascii="Calibri" w:eastAsia="Calibri" w:hAnsi="Calibri" w:cs="Times New Roman"/>
          <w:bCs/>
          <w:color w:val="000000"/>
          <w:kern w:val="0"/>
          <w:sz w:val="22"/>
          <w:szCs w:val="22"/>
          <w14:ligatures w14:val="none"/>
        </w:rPr>
        <w:t xml:space="preserve"> will calculate and document ambient noise levels on each project site, as necessary.</w:t>
      </w:r>
    </w:p>
    <w:bookmarkEnd w:id="0"/>
    <w:p w14:paraId="708622A9" w14:textId="64D7C095" w:rsidR="00544542" w:rsidRDefault="00D9745D" w:rsidP="00D9745D">
      <w:pPr>
        <w:rPr>
          <w:rFonts w:ascii="Calibri" w:eastAsia="Times New Roman" w:hAnsi="Calibri" w:cs="Times New Roman"/>
          <w:bCs/>
          <w:kern w:val="0"/>
          <w:sz w:val="22"/>
          <w:szCs w:val="22"/>
          <w14:ligatures w14:val="none"/>
        </w:rPr>
      </w:pPr>
      <w:r w:rsidRPr="00D9745D">
        <w:rPr>
          <w:rFonts w:ascii="Calibri" w:eastAsia="Times New Roman" w:hAnsi="Calibri" w:cs="Times New Roman"/>
          <w:b/>
          <w:bCs/>
          <w:kern w:val="0"/>
          <w:sz w:val="22"/>
          <w:szCs w:val="22"/>
          <w14:ligatures w14:val="none"/>
        </w:rPr>
        <w:t>Estimated Project Cost for PY 2025:</w:t>
      </w:r>
      <w:r w:rsidRPr="00D9745D">
        <w:rPr>
          <w:rFonts w:ascii="Calibri" w:eastAsia="Times New Roman" w:hAnsi="Calibri" w:cs="Times New Roman"/>
          <w:bCs/>
          <w:kern w:val="0"/>
          <w:sz w:val="22"/>
          <w:szCs w:val="22"/>
          <w14:ligatures w14:val="none"/>
        </w:rPr>
        <w:t xml:space="preserve"> $358,658</w:t>
      </w:r>
    </w:p>
    <w:p w14:paraId="644C46D6" w14:textId="77777777" w:rsidR="00D9745D" w:rsidRPr="00C329A4" w:rsidRDefault="00D9745D" w:rsidP="00D9745D">
      <w:pPr>
        <w:jc w:val="both"/>
        <w:rPr>
          <w:rFonts w:ascii="Calibri" w:hAnsi="Calibri"/>
          <w:sz w:val="22"/>
          <w:szCs w:val="22"/>
        </w:rPr>
      </w:pPr>
      <w:r w:rsidRPr="00422F93">
        <w:rPr>
          <w:rFonts w:ascii="Calibri" w:hAnsi="Calibri"/>
          <w:bCs/>
          <w:sz w:val="22"/>
          <w:szCs w:val="22"/>
        </w:rPr>
        <w:lastRenderedPageBreak/>
        <w:t xml:space="preserve">The activities proposed </w:t>
      </w:r>
      <w:r w:rsidRPr="00422F93">
        <w:rPr>
          <w:rFonts w:ascii="Calibri" w:hAnsi="Calibri"/>
          <w:iCs/>
          <w:sz w:val="22"/>
          <w:szCs w:val="22"/>
        </w:rPr>
        <w:t xml:space="preserve">are categorically excluded under HUD regulations at 24 CFR Part 58 from National Environmental Policy Act (NEPA) requirements per </w:t>
      </w:r>
      <w:r w:rsidRPr="00422F93">
        <w:rPr>
          <w:rFonts w:ascii="Calibri" w:hAnsi="Calibri"/>
          <w:sz w:val="22"/>
          <w:szCs w:val="22"/>
        </w:rPr>
        <w:t>24 CFR 58.</w:t>
      </w:r>
      <w:r>
        <w:rPr>
          <w:rFonts w:ascii="Calibri" w:hAnsi="Calibri"/>
          <w:sz w:val="22"/>
          <w:szCs w:val="22"/>
        </w:rPr>
        <w:t>3</w:t>
      </w:r>
      <w:r w:rsidRPr="00422F93">
        <w:rPr>
          <w:rFonts w:ascii="Calibri" w:hAnsi="Calibri"/>
          <w:sz w:val="22"/>
          <w:szCs w:val="22"/>
        </w:rPr>
        <w:t>5</w:t>
      </w:r>
      <w:r>
        <w:rPr>
          <w:rFonts w:ascii="Calibri" w:hAnsi="Calibri"/>
          <w:sz w:val="22"/>
          <w:szCs w:val="22"/>
        </w:rPr>
        <w:t>(a)(3)(</w:t>
      </w:r>
      <w:proofErr w:type="spellStart"/>
      <w:r>
        <w:rPr>
          <w:rFonts w:ascii="Calibri" w:hAnsi="Calibri"/>
          <w:sz w:val="22"/>
          <w:szCs w:val="22"/>
        </w:rPr>
        <w:t>i</w:t>
      </w:r>
      <w:proofErr w:type="spellEnd"/>
      <w:r>
        <w:rPr>
          <w:rFonts w:ascii="Calibri" w:hAnsi="Calibri"/>
          <w:sz w:val="22"/>
          <w:szCs w:val="22"/>
        </w:rPr>
        <w:t>)</w:t>
      </w:r>
      <w:r w:rsidRPr="00422F93">
        <w:rPr>
          <w:rFonts w:ascii="Calibri" w:hAnsi="Calibri"/>
          <w:i/>
          <w:iCs/>
          <w:sz w:val="22"/>
          <w:szCs w:val="22"/>
        </w:rPr>
        <w:t xml:space="preserve">. </w:t>
      </w:r>
      <w:r w:rsidRPr="00422F93">
        <w:rPr>
          <w:rFonts w:ascii="Calibri" w:hAnsi="Calibri"/>
          <w:bCs/>
          <w:sz w:val="22"/>
          <w:szCs w:val="22"/>
        </w:rPr>
        <w:t xml:space="preserve">An Environmental Review Record (ERR) that documents the environmental determinations for this project is on file at </w:t>
      </w:r>
      <w:r>
        <w:rPr>
          <w:rFonts w:ascii="Calibri" w:hAnsi="Calibri"/>
          <w:bCs/>
          <w:sz w:val="22"/>
          <w:szCs w:val="22"/>
        </w:rPr>
        <w:t xml:space="preserve">the </w:t>
      </w:r>
      <w:r w:rsidRPr="006C39C0">
        <w:rPr>
          <w:rFonts w:ascii="Calibri" w:hAnsi="Calibri"/>
          <w:sz w:val="22"/>
          <w:szCs w:val="22"/>
        </w:rPr>
        <w:t xml:space="preserve">City of Bethlehem Department of Community and Economic Development, Bethlehem City Hall, 10 East Church Street, Bethlehem, PA, and may be examined or </w:t>
      </w:r>
      <w:proofErr w:type="gramStart"/>
      <w:r w:rsidRPr="006C39C0">
        <w:rPr>
          <w:rFonts w:ascii="Calibri" w:hAnsi="Calibri"/>
          <w:sz w:val="22"/>
          <w:szCs w:val="22"/>
        </w:rPr>
        <w:t>copied</w:t>
      </w:r>
      <w:proofErr w:type="gramEnd"/>
      <w:r w:rsidRPr="006C39C0">
        <w:rPr>
          <w:rFonts w:ascii="Calibri" w:hAnsi="Calibri"/>
          <w:sz w:val="22"/>
          <w:szCs w:val="22"/>
        </w:rPr>
        <w:t xml:space="preserve"> weekdays from </w:t>
      </w:r>
      <w:r>
        <w:rPr>
          <w:rFonts w:ascii="Calibri" w:hAnsi="Calibri"/>
          <w:sz w:val="22"/>
          <w:szCs w:val="22"/>
        </w:rPr>
        <w:t xml:space="preserve">9:00 </w:t>
      </w:r>
      <w:r w:rsidRPr="006C39C0">
        <w:rPr>
          <w:rFonts w:ascii="Calibri" w:hAnsi="Calibri"/>
          <w:sz w:val="22"/>
          <w:szCs w:val="22"/>
        </w:rPr>
        <w:t>a</w:t>
      </w:r>
      <w:r>
        <w:rPr>
          <w:rFonts w:ascii="Calibri" w:hAnsi="Calibri"/>
          <w:sz w:val="22"/>
          <w:szCs w:val="22"/>
        </w:rPr>
        <w:t>.</w:t>
      </w:r>
      <w:r w:rsidRPr="006C39C0">
        <w:rPr>
          <w:rFonts w:ascii="Calibri" w:hAnsi="Calibri"/>
          <w:sz w:val="22"/>
          <w:szCs w:val="22"/>
        </w:rPr>
        <w:t>m</w:t>
      </w:r>
      <w:r>
        <w:rPr>
          <w:rFonts w:ascii="Calibri" w:hAnsi="Calibri"/>
          <w:sz w:val="22"/>
          <w:szCs w:val="22"/>
        </w:rPr>
        <w:t>.</w:t>
      </w:r>
      <w:r w:rsidRPr="006C39C0">
        <w:rPr>
          <w:rFonts w:ascii="Calibri" w:hAnsi="Calibri"/>
          <w:sz w:val="22"/>
          <w:szCs w:val="22"/>
        </w:rPr>
        <w:t xml:space="preserve"> to 4:00</w:t>
      </w:r>
      <w:r>
        <w:rPr>
          <w:rFonts w:ascii="Calibri" w:hAnsi="Calibri"/>
          <w:sz w:val="22"/>
          <w:szCs w:val="22"/>
        </w:rPr>
        <w:t xml:space="preserve"> </w:t>
      </w:r>
      <w:r w:rsidRPr="006C39C0">
        <w:rPr>
          <w:rFonts w:ascii="Calibri" w:hAnsi="Calibri"/>
          <w:sz w:val="22"/>
          <w:szCs w:val="22"/>
        </w:rPr>
        <w:t>p</w:t>
      </w:r>
      <w:r>
        <w:rPr>
          <w:rFonts w:ascii="Calibri" w:hAnsi="Calibri"/>
          <w:sz w:val="22"/>
          <w:szCs w:val="22"/>
        </w:rPr>
        <w:t>.</w:t>
      </w:r>
      <w:r w:rsidRPr="006C39C0">
        <w:rPr>
          <w:rFonts w:ascii="Calibri" w:hAnsi="Calibri"/>
          <w:sz w:val="22"/>
          <w:szCs w:val="22"/>
        </w:rPr>
        <w:t>m.</w:t>
      </w:r>
      <w:r>
        <w:rPr>
          <w:rFonts w:ascii="Calibri" w:hAnsi="Calibri"/>
          <w:sz w:val="22"/>
          <w:szCs w:val="22"/>
        </w:rPr>
        <w:t xml:space="preserve">  </w:t>
      </w:r>
      <w:r w:rsidRPr="00900700">
        <w:rPr>
          <w:rFonts w:ascii="Calibri" w:hAnsi="Calibri"/>
          <w:sz w:val="22"/>
          <w:szCs w:val="22"/>
        </w:rPr>
        <w:t>An electronic copy of the ERR may be accessed online at the following website</w:t>
      </w:r>
      <w:r w:rsidRPr="00810AA8">
        <w:rPr>
          <w:rFonts w:ascii="Calibri" w:hAnsi="Calibri" w:cs="Calibri"/>
          <w:sz w:val="22"/>
          <w:szCs w:val="22"/>
        </w:rPr>
        <w:t>: //www.bethlehem-pa.gov/Community-Economic-Development/Community-Development/CDBG-Home</w:t>
      </w:r>
      <w:r>
        <w:rPr>
          <w:rFonts w:ascii="Calibri" w:hAnsi="Calibri"/>
          <w:sz w:val="22"/>
          <w:szCs w:val="22"/>
        </w:rPr>
        <w:t xml:space="preserve">.  </w:t>
      </w:r>
    </w:p>
    <w:p w14:paraId="5D4664AB" w14:textId="77777777" w:rsidR="00D9745D" w:rsidRPr="00422F93" w:rsidRDefault="00D9745D" w:rsidP="00D9745D">
      <w:pPr>
        <w:pStyle w:val="Default"/>
        <w:jc w:val="both"/>
        <w:rPr>
          <w:rFonts w:ascii="Calibri" w:hAnsi="Calibri" w:cs="Times New Roman"/>
          <w:b/>
          <w:bCs/>
          <w:color w:val="auto"/>
          <w:sz w:val="22"/>
          <w:szCs w:val="22"/>
        </w:rPr>
      </w:pPr>
    </w:p>
    <w:p w14:paraId="7090E7A8" w14:textId="77777777" w:rsidR="00D9745D" w:rsidRDefault="00D9745D" w:rsidP="00D9745D">
      <w:pPr>
        <w:spacing w:after="0" w:line="240" w:lineRule="auto"/>
        <w:jc w:val="center"/>
        <w:outlineLvl w:val="0"/>
        <w:rPr>
          <w:rFonts w:ascii="Calibri" w:hAnsi="Calibri"/>
          <w:b/>
          <w:sz w:val="22"/>
          <w:szCs w:val="22"/>
        </w:rPr>
      </w:pPr>
      <w:r w:rsidRPr="00E6340A">
        <w:rPr>
          <w:rFonts w:ascii="Calibri" w:hAnsi="Calibri"/>
          <w:b/>
          <w:sz w:val="22"/>
          <w:szCs w:val="22"/>
        </w:rPr>
        <w:t xml:space="preserve">PUBLIC COMMENTS </w:t>
      </w:r>
    </w:p>
    <w:p w14:paraId="02141BAF" w14:textId="77777777" w:rsidR="00D9745D" w:rsidRPr="00E6340A" w:rsidRDefault="00D9745D" w:rsidP="00D9745D">
      <w:pPr>
        <w:spacing w:after="0" w:line="240" w:lineRule="auto"/>
        <w:jc w:val="both"/>
        <w:rPr>
          <w:rFonts w:ascii="Calibri" w:hAnsi="Calibri"/>
          <w:bCs/>
          <w:sz w:val="22"/>
          <w:szCs w:val="22"/>
        </w:rPr>
      </w:pPr>
      <w:r w:rsidRPr="00E6340A">
        <w:rPr>
          <w:rFonts w:ascii="Calibri" w:hAnsi="Calibri"/>
          <w:bCs/>
          <w:sz w:val="22"/>
          <w:szCs w:val="22"/>
        </w:rPr>
        <w:t xml:space="preserve">Any individual, group, or agency may submit written comments on the ERR to the </w:t>
      </w:r>
      <w:r w:rsidRPr="006C39C0">
        <w:rPr>
          <w:rFonts w:ascii="Calibri" w:hAnsi="Calibri"/>
          <w:sz w:val="22"/>
          <w:szCs w:val="22"/>
        </w:rPr>
        <w:t xml:space="preserve">City of Bethlehem Department of Community and Economic Development, Bethlehem City Hall, 10 East Church Street, Bethlehem, PA, </w:t>
      </w:r>
      <w:r>
        <w:rPr>
          <w:rFonts w:ascii="Calibri" w:hAnsi="Calibri"/>
          <w:sz w:val="22"/>
          <w:szCs w:val="22"/>
        </w:rPr>
        <w:t xml:space="preserve">18018.  </w:t>
      </w:r>
      <w:r w:rsidRPr="00E6340A">
        <w:rPr>
          <w:rFonts w:ascii="Calibri" w:hAnsi="Calibri"/>
          <w:bCs/>
          <w:sz w:val="22"/>
          <w:szCs w:val="22"/>
        </w:rPr>
        <w:t xml:space="preserve">All comments </w:t>
      </w:r>
      <w:r w:rsidRPr="00832AF9">
        <w:rPr>
          <w:rFonts w:ascii="Calibri" w:hAnsi="Calibri"/>
          <w:bCs/>
          <w:sz w:val="22"/>
          <w:szCs w:val="22"/>
        </w:rPr>
        <w:t xml:space="preserve">received by </w:t>
      </w:r>
      <w:r w:rsidRPr="00CE4163">
        <w:rPr>
          <w:rFonts w:ascii="Calibri" w:hAnsi="Calibri"/>
          <w:bCs/>
          <w:sz w:val="22"/>
          <w:szCs w:val="22"/>
        </w:rPr>
        <w:t>January 2, 2026</w:t>
      </w:r>
      <w:r w:rsidRPr="00D41942">
        <w:rPr>
          <w:rFonts w:ascii="Calibri" w:hAnsi="Calibri"/>
          <w:bCs/>
          <w:sz w:val="22"/>
          <w:szCs w:val="22"/>
        </w:rPr>
        <w:t>,</w:t>
      </w:r>
      <w:r>
        <w:rPr>
          <w:rFonts w:ascii="Calibri" w:hAnsi="Calibri"/>
          <w:bCs/>
          <w:sz w:val="22"/>
          <w:szCs w:val="22"/>
        </w:rPr>
        <w:t xml:space="preserve"> wi</w:t>
      </w:r>
      <w:r w:rsidRPr="00E6340A">
        <w:rPr>
          <w:rFonts w:ascii="Calibri" w:hAnsi="Calibri"/>
          <w:bCs/>
          <w:sz w:val="22"/>
          <w:szCs w:val="22"/>
        </w:rPr>
        <w:t xml:space="preserve">ll be considered by the </w:t>
      </w:r>
      <w:r>
        <w:rPr>
          <w:rFonts w:ascii="Calibri" w:hAnsi="Calibri"/>
          <w:bCs/>
          <w:sz w:val="22"/>
          <w:szCs w:val="22"/>
        </w:rPr>
        <w:t xml:space="preserve">City of Bethlehem </w:t>
      </w:r>
      <w:r w:rsidRPr="00E6340A">
        <w:rPr>
          <w:rFonts w:ascii="Calibri" w:hAnsi="Calibri"/>
          <w:bCs/>
          <w:sz w:val="22"/>
          <w:szCs w:val="22"/>
        </w:rPr>
        <w:t xml:space="preserve">prior to authorizing submission of a request for release of funds.  </w:t>
      </w:r>
      <w:r>
        <w:rPr>
          <w:rFonts w:ascii="Calibri" w:hAnsi="Calibri"/>
          <w:sz w:val="22"/>
          <w:szCs w:val="22"/>
        </w:rPr>
        <w:t xml:space="preserve">Additional project information is contained in the ERR.  The ERR will be made available to the public for review either electronically or by US mail.  Please submit your request by US mail to the address noted above or via email </w:t>
      </w:r>
      <w:r w:rsidRPr="00C329A4">
        <w:rPr>
          <w:rFonts w:ascii="Calibri" w:hAnsi="Calibri"/>
          <w:sz w:val="22"/>
          <w:szCs w:val="22"/>
        </w:rPr>
        <w:t xml:space="preserve">to </w:t>
      </w:r>
      <w:r w:rsidRPr="00900700">
        <w:rPr>
          <w:rFonts w:ascii="Calibri" w:hAnsi="Calibri"/>
          <w:sz w:val="22"/>
          <w:szCs w:val="22"/>
        </w:rPr>
        <w:t>enehmeh@bethlehem-pa.gov</w:t>
      </w:r>
      <w:r>
        <w:rPr>
          <w:rFonts w:ascii="Calibri" w:hAnsi="Calibri"/>
          <w:sz w:val="22"/>
          <w:szCs w:val="22"/>
        </w:rPr>
        <w:t xml:space="preserve"> with a copy to rvidoni</w:t>
      </w:r>
      <w:r w:rsidRPr="00C329A4">
        <w:rPr>
          <w:rFonts w:ascii="Calibri" w:hAnsi="Calibri"/>
          <w:sz w:val="22"/>
          <w:szCs w:val="22"/>
        </w:rPr>
        <w:t xml:space="preserve">@bethlehem-pa.gov.  </w:t>
      </w:r>
    </w:p>
    <w:p w14:paraId="5876C198" w14:textId="77777777" w:rsidR="00D9745D" w:rsidRPr="00E6340A" w:rsidRDefault="00D9745D" w:rsidP="00D9745D">
      <w:pPr>
        <w:jc w:val="both"/>
        <w:rPr>
          <w:rFonts w:ascii="Calibri" w:hAnsi="Calibri"/>
          <w:sz w:val="22"/>
          <w:szCs w:val="22"/>
        </w:rPr>
      </w:pPr>
    </w:p>
    <w:p w14:paraId="5EEDC6D3" w14:textId="77777777" w:rsidR="00D9745D" w:rsidRDefault="00D9745D" w:rsidP="00D9745D">
      <w:pPr>
        <w:spacing w:after="0" w:line="240" w:lineRule="auto"/>
        <w:jc w:val="center"/>
        <w:outlineLvl w:val="0"/>
        <w:rPr>
          <w:rFonts w:ascii="Calibri" w:hAnsi="Calibri"/>
          <w:b/>
          <w:sz w:val="22"/>
          <w:szCs w:val="22"/>
        </w:rPr>
      </w:pPr>
      <w:r w:rsidRPr="00E6340A">
        <w:rPr>
          <w:rFonts w:ascii="Calibri" w:hAnsi="Calibri"/>
          <w:b/>
          <w:sz w:val="22"/>
          <w:szCs w:val="22"/>
        </w:rPr>
        <w:t>ENVIRONMENTAL CERTIFICATION</w:t>
      </w:r>
    </w:p>
    <w:p w14:paraId="62F17EFE" w14:textId="77777777" w:rsidR="00D9745D" w:rsidRPr="00E6340A" w:rsidRDefault="00D9745D" w:rsidP="00D9745D">
      <w:pPr>
        <w:spacing w:after="0" w:line="240" w:lineRule="auto"/>
        <w:jc w:val="both"/>
        <w:rPr>
          <w:rFonts w:ascii="Calibri" w:hAnsi="Calibri"/>
          <w:bCs/>
          <w:sz w:val="22"/>
          <w:szCs w:val="22"/>
        </w:rPr>
      </w:pPr>
      <w:r w:rsidRPr="00E6340A">
        <w:rPr>
          <w:rFonts w:ascii="Calibri" w:hAnsi="Calibri"/>
          <w:bCs/>
          <w:sz w:val="22"/>
          <w:szCs w:val="22"/>
        </w:rPr>
        <w:t xml:space="preserve">The </w:t>
      </w:r>
      <w:r>
        <w:rPr>
          <w:rFonts w:ascii="Calibri" w:hAnsi="Calibri"/>
          <w:bCs/>
          <w:sz w:val="22"/>
          <w:szCs w:val="22"/>
        </w:rPr>
        <w:t>City of Bethlehem</w:t>
      </w:r>
      <w:r w:rsidRPr="00E6340A">
        <w:rPr>
          <w:rFonts w:ascii="Calibri" w:hAnsi="Calibri"/>
          <w:bCs/>
          <w:sz w:val="22"/>
          <w:szCs w:val="22"/>
        </w:rPr>
        <w:t xml:space="preserve"> certifies to </w:t>
      </w:r>
      <w:r w:rsidRPr="00E6340A">
        <w:rPr>
          <w:rFonts w:ascii="Calibri" w:hAnsi="Calibri"/>
          <w:iCs/>
          <w:sz w:val="22"/>
          <w:szCs w:val="22"/>
        </w:rPr>
        <w:t xml:space="preserve">HUD </w:t>
      </w:r>
      <w:r w:rsidRPr="00E6340A">
        <w:rPr>
          <w:rFonts w:ascii="Calibri" w:hAnsi="Calibri"/>
          <w:bCs/>
          <w:sz w:val="22"/>
          <w:szCs w:val="22"/>
        </w:rPr>
        <w:t xml:space="preserve">that </w:t>
      </w:r>
      <w:r>
        <w:rPr>
          <w:rFonts w:ascii="Calibri" w:hAnsi="Calibri"/>
          <w:bCs/>
          <w:sz w:val="22"/>
          <w:szCs w:val="22"/>
        </w:rPr>
        <w:t xml:space="preserve">J. William Reynolds, </w:t>
      </w:r>
      <w:r w:rsidRPr="00E6340A">
        <w:rPr>
          <w:rFonts w:ascii="Calibri" w:hAnsi="Calibri"/>
          <w:bCs/>
          <w:sz w:val="22"/>
          <w:szCs w:val="22"/>
        </w:rPr>
        <w:t>in</w:t>
      </w:r>
      <w:r w:rsidRPr="00E6340A">
        <w:rPr>
          <w:rFonts w:ascii="Calibri" w:hAnsi="Calibri"/>
          <w:iCs/>
          <w:sz w:val="22"/>
          <w:szCs w:val="22"/>
        </w:rPr>
        <w:t xml:space="preserve"> his </w:t>
      </w:r>
      <w:r w:rsidRPr="00E6340A">
        <w:rPr>
          <w:rFonts w:ascii="Calibri" w:hAnsi="Calibri"/>
          <w:bCs/>
          <w:sz w:val="22"/>
          <w:szCs w:val="22"/>
        </w:rPr>
        <w:t xml:space="preserve">capacity as </w:t>
      </w:r>
      <w:r>
        <w:rPr>
          <w:rFonts w:ascii="Calibri" w:hAnsi="Calibri"/>
          <w:bCs/>
          <w:sz w:val="22"/>
          <w:szCs w:val="22"/>
        </w:rPr>
        <w:t>Mayor,</w:t>
      </w:r>
      <w:r w:rsidRPr="00E6340A">
        <w:rPr>
          <w:rFonts w:ascii="Calibri" w:hAnsi="Calibri"/>
          <w:iCs/>
          <w:sz w:val="22"/>
          <w:szCs w:val="22"/>
        </w:rPr>
        <w:t xml:space="preserve"> </w:t>
      </w:r>
      <w:r>
        <w:rPr>
          <w:rFonts w:ascii="Calibri" w:hAnsi="Calibri"/>
          <w:iCs/>
          <w:sz w:val="22"/>
          <w:szCs w:val="22"/>
        </w:rPr>
        <w:t xml:space="preserve">or his authorized </w:t>
      </w:r>
      <w:proofErr w:type="gramStart"/>
      <w:r>
        <w:rPr>
          <w:rFonts w:ascii="Calibri" w:hAnsi="Calibri"/>
          <w:iCs/>
          <w:sz w:val="22"/>
          <w:szCs w:val="22"/>
        </w:rPr>
        <w:t>designee</w:t>
      </w:r>
      <w:proofErr w:type="gramEnd"/>
      <w:r>
        <w:rPr>
          <w:rFonts w:ascii="Calibri" w:hAnsi="Calibri"/>
          <w:iCs/>
          <w:sz w:val="22"/>
          <w:szCs w:val="22"/>
        </w:rPr>
        <w:t xml:space="preserve">, </w:t>
      </w:r>
      <w:r w:rsidRPr="00E6340A">
        <w:rPr>
          <w:rFonts w:ascii="Calibri" w:hAnsi="Calibri"/>
          <w:bCs/>
          <w:sz w:val="22"/>
          <w:szCs w:val="22"/>
        </w:rPr>
        <w:t xml:space="preserve">consents to accept the jurisdiction of the Federal Courts if an action is brought to enforce responsibilities in relation to the environmental review process and that these responsibilities have been satisfied.  </w:t>
      </w:r>
      <w:r w:rsidRPr="00E6340A">
        <w:rPr>
          <w:rFonts w:ascii="Calibri" w:hAnsi="Calibri"/>
          <w:iCs/>
          <w:sz w:val="22"/>
          <w:szCs w:val="22"/>
        </w:rPr>
        <w:t xml:space="preserve">HUD’s </w:t>
      </w:r>
      <w:r w:rsidRPr="00E6340A">
        <w:rPr>
          <w:rFonts w:ascii="Calibri" w:hAnsi="Calibri"/>
          <w:bCs/>
          <w:sz w:val="22"/>
          <w:szCs w:val="22"/>
        </w:rPr>
        <w:t xml:space="preserve">approval of the certification satisfies its responsibilities under NEPA and related laws and authorities and allows the </w:t>
      </w:r>
      <w:r>
        <w:rPr>
          <w:rFonts w:ascii="Calibri" w:hAnsi="Calibri"/>
          <w:bCs/>
          <w:sz w:val="22"/>
          <w:szCs w:val="22"/>
        </w:rPr>
        <w:t>City of Bethlehem</w:t>
      </w:r>
      <w:r w:rsidRPr="00E6340A">
        <w:rPr>
          <w:rFonts w:ascii="Calibri" w:hAnsi="Calibri"/>
          <w:bCs/>
          <w:sz w:val="22"/>
          <w:szCs w:val="22"/>
        </w:rPr>
        <w:t xml:space="preserve"> to use Program funds.</w:t>
      </w:r>
    </w:p>
    <w:p w14:paraId="65A1B727" w14:textId="77777777" w:rsidR="00D9745D" w:rsidRPr="00B137EF" w:rsidRDefault="00D9745D" w:rsidP="00D9745D">
      <w:pPr>
        <w:pStyle w:val="Default"/>
        <w:jc w:val="both"/>
        <w:rPr>
          <w:rFonts w:ascii="Calibri" w:hAnsi="Calibri" w:cs="Times New Roman"/>
          <w:bCs/>
          <w:color w:val="auto"/>
          <w:sz w:val="22"/>
          <w:szCs w:val="22"/>
          <w:highlight w:val="yellow"/>
        </w:rPr>
      </w:pPr>
    </w:p>
    <w:p w14:paraId="07FC4E0E" w14:textId="77777777" w:rsidR="00D9745D" w:rsidRPr="00E6340A" w:rsidRDefault="00D9745D" w:rsidP="00D9745D">
      <w:pPr>
        <w:spacing w:after="0" w:line="240" w:lineRule="auto"/>
        <w:jc w:val="center"/>
        <w:outlineLvl w:val="0"/>
        <w:rPr>
          <w:rFonts w:ascii="Calibri" w:hAnsi="Calibri"/>
          <w:sz w:val="22"/>
          <w:szCs w:val="22"/>
        </w:rPr>
      </w:pPr>
      <w:r w:rsidRPr="00E6340A">
        <w:rPr>
          <w:rFonts w:ascii="Calibri" w:hAnsi="Calibri"/>
          <w:b/>
          <w:sz w:val="22"/>
          <w:szCs w:val="22"/>
        </w:rPr>
        <w:t xml:space="preserve">OBJECTIONS TO </w:t>
      </w:r>
      <w:proofErr w:type="gramStart"/>
      <w:r w:rsidRPr="00E6340A">
        <w:rPr>
          <w:rFonts w:ascii="Calibri" w:hAnsi="Calibri"/>
          <w:b/>
          <w:sz w:val="22"/>
          <w:szCs w:val="22"/>
        </w:rPr>
        <w:t>RELEASE OF</w:t>
      </w:r>
      <w:proofErr w:type="gramEnd"/>
      <w:r w:rsidRPr="00E6340A">
        <w:rPr>
          <w:rFonts w:ascii="Calibri" w:hAnsi="Calibri"/>
          <w:b/>
          <w:sz w:val="22"/>
          <w:szCs w:val="22"/>
        </w:rPr>
        <w:t xml:space="preserve"> FUNDS</w:t>
      </w:r>
    </w:p>
    <w:p w14:paraId="754B1E5D" w14:textId="77777777" w:rsidR="00D9745D" w:rsidRPr="00530964" w:rsidRDefault="00D9745D" w:rsidP="00D9745D">
      <w:pPr>
        <w:spacing w:after="0" w:line="240" w:lineRule="auto"/>
        <w:jc w:val="both"/>
        <w:rPr>
          <w:rFonts w:ascii="Calibri" w:hAnsi="Calibri"/>
          <w:sz w:val="22"/>
          <w:szCs w:val="22"/>
        </w:rPr>
      </w:pPr>
      <w:r w:rsidRPr="00E6340A">
        <w:rPr>
          <w:rFonts w:ascii="Calibri" w:hAnsi="Calibri"/>
          <w:sz w:val="22"/>
          <w:szCs w:val="22"/>
        </w:rPr>
        <w:t xml:space="preserve">HUD will consider objections to its release of funds and the </w:t>
      </w:r>
      <w:r>
        <w:rPr>
          <w:rFonts w:ascii="Calibri" w:hAnsi="Calibri"/>
          <w:sz w:val="22"/>
          <w:szCs w:val="22"/>
        </w:rPr>
        <w:t>City of Bethlehem’s</w:t>
      </w:r>
      <w:r w:rsidRPr="00E6340A">
        <w:rPr>
          <w:rFonts w:ascii="Calibri" w:hAnsi="Calibri"/>
          <w:sz w:val="22"/>
          <w:szCs w:val="22"/>
        </w:rPr>
        <w:t xml:space="preserve"> certification for a period of fifteen days following the anticipated submission date or its actual receipt of the request (whichever is later) only if they are on one of the following bases: (a)</w:t>
      </w:r>
      <w:r>
        <w:rPr>
          <w:rFonts w:ascii="Calibri" w:hAnsi="Calibri"/>
          <w:sz w:val="22"/>
          <w:szCs w:val="22"/>
        </w:rPr>
        <w:t xml:space="preserve"> </w:t>
      </w:r>
      <w:r w:rsidRPr="00E6340A">
        <w:rPr>
          <w:rFonts w:ascii="Calibri" w:hAnsi="Calibri"/>
          <w:sz w:val="22"/>
          <w:szCs w:val="22"/>
        </w:rPr>
        <w:t xml:space="preserve">The certification was not executed by the Certifying Officer or other officer of the </w:t>
      </w:r>
      <w:r>
        <w:rPr>
          <w:rFonts w:ascii="Calibri" w:hAnsi="Calibri"/>
          <w:sz w:val="22"/>
          <w:szCs w:val="22"/>
        </w:rPr>
        <w:t xml:space="preserve">City of Bethlehem; (b) </w:t>
      </w:r>
      <w:r w:rsidRPr="00530964">
        <w:rPr>
          <w:rFonts w:ascii="Calibri" w:hAnsi="Calibri"/>
          <w:sz w:val="22"/>
          <w:szCs w:val="22"/>
        </w:rPr>
        <w:t>The City of Bethlehem has omitted a step or failed to make a decision or finding required by HUD regulation at 24 CFR Part 58; (c)</w:t>
      </w:r>
      <w:r>
        <w:rPr>
          <w:rFonts w:ascii="Calibri" w:hAnsi="Calibri"/>
          <w:sz w:val="22"/>
          <w:szCs w:val="22"/>
        </w:rPr>
        <w:t xml:space="preserve"> </w:t>
      </w:r>
      <w:r w:rsidRPr="00530964">
        <w:rPr>
          <w:rFonts w:ascii="Calibri" w:hAnsi="Calibri"/>
          <w:sz w:val="22"/>
          <w:szCs w:val="22"/>
        </w:rPr>
        <w:t>The grant recipient or other participants in the development process have committed funds, incurred costs, or undertaken activities not authorized by 24 CFR Part 58 before approval of a release of funds by HUD; or (d)</w:t>
      </w:r>
      <w:r>
        <w:rPr>
          <w:rFonts w:ascii="Calibri" w:hAnsi="Calibri"/>
          <w:sz w:val="22"/>
          <w:szCs w:val="22"/>
        </w:rPr>
        <w:t xml:space="preserve"> </w:t>
      </w:r>
      <w:r w:rsidRPr="00530964">
        <w:rPr>
          <w:rFonts w:ascii="Calibri" w:hAnsi="Calibri"/>
          <w:sz w:val="22"/>
          <w:szCs w:val="22"/>
        </w:rPr>
        <w:t>Another Federal agency acting pursuant to 40 CFR Part 1504 has submitted a written finding that the project is unsatisfactory from the standpoint of environmental quality.</w:t>
      </w:r>
    </w:p>
    <w:p w14:paraId="605FD635" w14:textId="77777777" w:rsidR="00D9745D" w:rsidRPr="00E6340A" w:rsidRDefault="00D9745D" w:rsidP="00D9745D">
      <w:pPr>
        <w:spacing w:line="240" w:lineRule="atLeast"/>
        <w:jc w:val="both"/>
        <w:rPr>
          <w:rFonts w:ascii="Calibri" w:hAnsi="Calibri"/>
          <w:sz w:val="22"/>
          <w:szCs w:val="22"/>
        </w:rPr>
      </w:pPr>
      <w:r w:rsidRPr="00A5249A">
        <w:rPr>
          <w:rFonts w:ascii="Calibri" w:hAnsi="Calibri"/>
          <w:sz w:val="22"/>
          <w:szCs w:val="22"/>
        </w:rPr>
        <w:t xml:space="preserve">Objections must be prepared and submitted in accordance with the required procedures (24 CFR Part 58, Sec.58.76) and shall </w:t>
      </w:r>
      <w:r w:rsidRPr="00CE4163">
        <w:rPr>
          <w:rFonts w:cstheme="minorHAnsi"/>
          <w:sz w:val="22"/>
          <w:szCs w:val="22"/>
        </w:rPr>
        <w:t xml:space="preserve">be addressed to the Philadelphia Office of Community Planning and Development at </w:t>
      </w:r>
      <w:hyperlink r:id="rId4" w:history="1">
        <w:r w:rsidRPr="00CE4163">
          <w:rPr>
            <w:rStyle w:val="Hyperlink"/>
            <w:rFonts w:cstheme="minorHAnsi"/>
            <w:sz w:val="22"/>
            <w:szCs w:val="22"/>
          </w:rPr>
          <w:t>CPDRROFPHI@hud.gov</w:t>
        </w:r>
      </w:hyperlink>
      <w:r w:rsidRPr="00CE4163">
        <w:rPr>
          <w:rFonts w:cstheme="minorHAnsi"/>
          <w:sz w:val="22"/>
          <w:szCs w:val="22"/>
        </w:rPr>
        <w:t xml:space="preserve"> or 801 Market Street, 12</w:t>
      </w:r>
      <w:r w:rsidRPr="00CE4163">
        <w:rPr>
          <w:rFonts w:cstheme="minorHAnsi"/>
          <w:sz w:val="22"/>
          <w:szCs w:val="22"/>
          <w:vertAlign w:val="superscript"/>
        </w:rPr>
        <w:t>th</w:t>
      </w:r>
      <w:r w:rsidRPr="00CE4163">
        <w:rPr>
          <w:rFonts w:cstheme="minorHAnsi"/>
          <w:sz w:val="22"/>
          <w:szCs w:val="22"/>
        </w:rPr>
        <w:t xml:space="preserve"> Floor, Philadelphia, PA 19107. Potential objectors should contact HUD to verify the actual last day of the objection</w:t>
      </w:r>
      <w:r w:rsidRPr="00E6340A">
        <w:rPr>
          <w:rFonts w:ascii="Calibri" w:hAnsi="Calibri"/>
          <w:sz w:val="22"/>
          <w:szCs w:val="22"/>
        </w:rPr>
        <w:t xml:space="preserve"> period.</w:t>
      </w:r>
    </w:p>
    <w:p w14:paraId="20F12D61" w14:textId="77777777" w:rsidR="00D9745D" w:rsidRPr="00022C21" w:rsidRDefault="00D9745D" w:rsidP="00D9745D">
      <w:pPr>
        <w:pStyle w:val="NoSpacing"/>
        <w:rPr>
          <w:rFonts w:ascii="Calibri" w:hAnsi="Calibri" w:cs="Calibri"/>
          <w:sz w:val="22"/>
          <w:szCs w:val="22"/>
        </w:rPr>
      </w:pPr>
      <w:r>
        <w:rPr>
          <w:rFonts w:ascii="Calibri" w:hAnsi="Calibri"/>
          <w:bCs/>
          <w:sz w:val="22"/>
          <w:szCs w:val="22"/>
        </w:rPr>
        <w:t>J. William Reynolds</w:t>
      </w:r>
      <w:r w:rsidRPr="00022C21">
        <w:rPr>
          <w:rFonts w:ascii="Calibri" w:hAnsi="Calibri" w:cs="Calibri"/>
          <w:sz w:val="22"/>
          <w:szCs w:val="22"/>
        </w:rPr>
        <w:t>, Mayor</w:t>
      </w:r>
    </w:p>
    <w:p w14:paraId="7DDB6205" w14:textId="5F66B1F6" w:rsidR="00D9745D" w:rsidRDefault="00D9745D" w:rsidP="00D9745D">
      <w:r w:rsidRPr="00022C21">
        <w:rPr>
          <w:rFonts w:ascii="Calibri" w:hAnsi="Calibri" w:cs="Calibri"/>
          <w:sz w:val="22"/>
          <w:szCs w:val="22"/>
        </w:rPr>
        <w:t>City of Bethlehem</w:t>
      </w:r>
    </w:p>
    <w:sectPr w:rsidR="00D9745D" w:rsidSect="00D9745D">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5D"/>
    <w:rsid w:val="00434494"/>
    <w:rsid w:val="004C30E7"/>
    <w:rsid w:val="00544542"/>
    <w:rsid w:val="00D9745D"/>
    <w:rsid w:val="00F52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5A10"/>
  <w15:chartTrackingRefBased/>
  <w15:docId w15:val="{1C316141-E66E-4C8C-BFF9-4EC54F11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4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4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4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4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4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4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4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4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4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4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4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4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4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4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4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45D"/>
    <w:rPr>
      <w:rFonts w:eastAsiaTheme="majorEastAsia" w:cstheme="majorBidi"/>
      <w:color w:val="272727" w:themeColor="text1" w:themeTint="D8"/>
    </w:rPr>
  </w:style>
  <w:style w:type="paragraph" w:styleId="Title">
    <w:name w:val="Title"/>
    <w:basedOn w:val="Normal"/>
    <w:next w:val="Normal"/>
    <w:link w:val="TitleChar"/>
    <w:uiPriority w:val="10"/>
    <w:qFormat/>
    <w:rsid w:val="00D97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4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4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45D"/>
    <w:pPr>
      <w:spacing w:before="160"/>
      <w:jc w:val="center"/>
    </w:pPr>
    <w:rPr>
      <w:i/>
      <w:iCs/>
      <w:color w:val="404040" w:themeColor="text1" w:themeTint="BF"/>
    </w:rPr>
  </w:style>
  <w:style w:type="character" w:customStyle="1" w:styleId="QuoteChar">
    <w:name w:val="Quote Char"/>
    <w:basedOn w:val="DefaultParagraphFont"/>
    <w:link w:val="Quote"/>
    <w:uiPriority w:val="29"/>
    <w:rsid w:val="00D9745D"/>
    <w:rPr>
      <w:i/>
      <w:iCs/>
      <w:color w:val="404040" w:themeColor="text1" w:themeTint="BF"/>
    </w:rPr>
  </w:style>
  <w:style w:type="paragraph" w:styleId="ListParagraph">
    <w:name w:val="List Paragraph"/>
    <w:basedOn w:val="Normal"/>
    <w:uiPriority w:val="34"/>
    <w:qFormat/>
    <w:rsid w:val="00D9745D"/>
    <w:pPr>
      <w:ind w:left="720"/>
      <w:contextualSpacing/>
    </w:pPr>
  </w:style>
  <w:style w:type="character" w:styleId="IntenseEmphasis">
    <w:name w:val="Intense Emphasis"/>
    <w:basedOn w:val="DefaultParagraphFont"/>
    <w:uiPriority w:val="21"/>
    <w:qFormat/>
    <w:rsid w:val="00D9745D"/>
    <w:rPr>
      <w:i/>
      <w:iCs/>
      <w:color w:val="0F4761" w:themeColor="accent1" w:themeShade="BF"/>
    </w:rPr>
  </w:style>
  <w:style w:type="paragraph" w:styleId="IntenseQuote">
    <w:name w:val="Intense Quote"/>
    <w:basedOn w:val="Normal"/>
    <w:next w:val="Normal"/>
    <w:link w:val="IntenseQuoteChar"/>
    <w:uiPriority w:val="30"/>
    <w:qFormat/>
    <w:rsid w:val="00D97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45D"/>
    <w:rPr>
      <w:i/>
      <w:iCs/>
      <w:color w:val="0F4761" w:themeColor="accent1" w:themeShade="BF"/>
    </w:rPr>
  </w:style>
  <w:style w:type="character" w:styleId="IntenseReference">
    <w:name w:val="Intense Reference"/>
    <w:basedOn w:val="DefaultParagraphFont"/>
    <w:uiPriority w:val="32"/>
    <w:qFormat/>
    <w:rsid w:val="00D9745D"/>
    <w:rPr>
      <w:b/>
      <w:bCs/>
      <w:smallCaps/>
      <w:color w:val="0F4761" w:themeColor="accent1" w:themeShade="BF"/>
      <w:spacing w:val="5"/>
    </w:rPr>
  </w:style>
  <w:style w:type="character" w:styleId="CommentReference">
    <w:name w:val="annotation reference"/>
    <w:rsid w:val="00D9745D"/>
    <w:rPr>
      <w:sz w:val="16"/>
      <w:szCs w:val="16"/>
    </w:rPr>
  </w:style>
  <w:style w:type="paragraph" w:styleId="CommentText">
    <w:name w:val="annotation text"/>
    <w:basedOn w:val="Normal"/>
    <w:link w:val="CommentTextChar"/>
    <w:rsid w:val="00D9745D"/>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D9745D"/>
    <w:rPr>
      <w:rFonts w:ascii="Times New Roman" w:eastAsia="Times New Roman" w:hAnsi="Times New Roman" w:cs="Times New Roman"/>
      <w:kern w:val="0"/>
      <w:sz w:val="20"/>
      <w:szCs w:val="20"/>
      <w14:ligatures w14:val="none"/>
    </w:rPr>
  </w:style>
  <w:style w:type="paragraph" w:customStyle="1" w:styleId="Default">
    <w:name w:val="Default"/>
    <w:rsid w:val="00D9745D"/>
    <w:pPr>
      <w:autoSpaceDE w:val="0"/>
      <w:autoSpaceDN w:val="0"/>
      <w:adjustRightInd w:val="0"/>
      <w:spacing w:after="0" w:line="240" w:lineRule="auto"/>
    </w:pPr>
    <w:rPr>
      <w:rFonts w:ascii="Cambria" w:eastAsia="Calibri" w:hAnsi="Cambria" w:cs="Cambria"/>
      <w:color w:val="000000"/>
      <w:kern w:val="0"/>
      <w14:ligatures w14:val="none"/>
    </w:rPr>
  </w:style>
  <w:style w:type="character" w:styleId="Hyperlink">
    <w:name w:val="Hyperlink"/>
    <w:uiPriority w:val="99"/>
    <w:unhideWhenUsed/>
    <w:rsid w:val="00D9745D"/>
    <w:rPr>
      <w:color w:val="0000FF"/>
      <w:u w:val="single"/>
    </w:rPr>
  </w:style>
  <w:style w:type="paragraph" w:styleId="NoSpacing">
    <w:name w:val="No Spacing"/>
    <w:uiPriority w:val="1"/>
    <w:qFormat/>
    <w:rsid w:val="00D9745D"/>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PDRROFPHI@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1076</Words>
  <Characters>6125</Characters>
  <Application>Microsoft Office Word</Application>
  <DocSecurity>0</DocSecurity>
  <Lines>95</Lines>
  <Paragraphs>32</Paragraphs>
  <ScaleCrop>false</ScaleCrop>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Nehmeh, Elivonne</dc:creator>
  <cp:keywords/>
  <dc:description/>
  <cp:lastModifiedBy>Nehmeh, Elivonne</cp:lastModifiedBy>
  <cp:revision>1</cp:revision>
  <dcterms:created xsi:type="dcterms:W3CDTF">2025-12-22T18:53:00Z</dcterms:created>
  <dcterms:modified xsi:type="dcterms:W3CDTF">2025-12-22T18:57:00Z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2025-12-22T18:57:11Z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b0c54aec-0207-44c6-817c-f70631df93c1</vt:lpwstr>
  </property>
  <property fmtid="{D5CDD505-2E9C-101B-9397-08002B2CF9AE}" pid="7" name="MSIP_Label_defa4170-0d19-0005-0004-bc88714345d2_ActionId">
    <vt:lpwstr>4b0dc7b4-9090-4ace-8128-9516d641f128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